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2B" w:rsidRDefault="00593A2B">
      <w:pPr>
        <w:spacing w:line="240" w:lineRule="auto"/>
      </w:pPr>
    </w:p>
    <w:p w:rsidR="00593A2B" w:rsidRPr="00A57C3F" w:rsidRDefault="00593A2B" w:rsidP="00593A2B">
      <w:pPr>
        <w:pStyle w:val="Titel"/>
        <w:ind w:right="141"/>
        <w:jc w:val="left"/>
        <w:rPr>
          <w:rFonts w:ascii="Calibri" w:hAnsi="Calibri"/>
        </w:rPr>
      </w:pPr>
      <w:r w:rsidRPr="00A57C3F">
        <w:rPr>
          <w:rFonts w:ascii="Calibri" w:hAnsi="Calibri"/>
        </w:rPr>
        <w:t xml:space="preserve">Algemene voorwaarden </w:t>
      </w: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</w:rPr>
      </w:pP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  <w:b/>
        </w:rPr>
      </w:pPr>
      <w:r w:rsidRPr="00A57C3F">
        <w:rPr>
          <w:rFonts w:ascii="Calibri" w:hAnsi="Calibri" w:cs="Calibri"/>
          <w:b/>
        </w:rPr>
        <w:t>Voorwaarden</w:t>
      </w:r>
    </w:p>
    <w:p w:rsidR="00593A2B" w:rsidRPr="00A57C3F" w:rsidRDefault="00593A2B" w:rsidP="00593A2B">
      <w:pPr>
        <w:pStyle w:val="Normaal"/>
        <w:numPr>
          <w:ilvl w:val="0"/>
          <w:numId w:val="2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Afnemers dienen de productionele</w:t>
      </w:r>
      <w:r>
        <w:rPr>
          <w:rFonts w:ascii="Calibri" w:hAnsi="Calibri" w:cs="Calibri"/>
        </w:rPr>
        <w:t xml:space="preserve"> en technische </w:t>
      </w:r>
      <w:r w:rsidRPr="00A57C3F">
        <w:rPr>
          <w:rFonts w:ascii="Calibri" w:hAnsi="Calibri" w:cs="Calibri"/>
        </w:rPr>
        <w:t xml:space="preserve">voorwaarden die zijn vermeld bij de verschillende voorstellingen in acht te nemen. </w:t>
      </w:r>
      <w:r>
        <w:rPr>
          <w:rFonts w:ascii="Calibri" w:hAnsi="Calibri" w:cs="Calibri"/>
        </w:rPr>
        <w:t xml:space="preserve">Deze staan in de prijslijst, op de webpagina van de voorstelling en in contractovereenkomst. </w:t>
      </w:r>
    </w:p>
    <w:p w:rsidR="00593A2B" w:rsidRPr="00A57C3F" w:rsidRDefault="00593A2B" w:rsidP="00593A2B">
      <w:pPr>
        <w:pStyle w:val="Normaal"/>
        <w:numPr>
          <w:ilvl w:val="0"/>
          <w:numId w:val="2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Buro Bannink is verbonden aan de VJ</w:t>
      </w:r>
      <w:r>
        <w:rPr>
          <w:rFonts w:ascii="Calibri" w:hAnsi="Calibri" w:cs="Calibri"/>
        </w:rPr>
        <w:t>I</w:t>
      </w:r>
      <w:r w:rsidRPr="00A57C3F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V</w:t>
      </w:r>
      <w:r w:rsidRPr="00A57C3F">
        <w:rPr>
          <w:rFonts w:ascii="Calibri" w:hAnsi="Calibri" w:cs="Calibri"/>
        </w:rPr>
        <w:t>ereninging</w:t>
      </w:r>
      <w:proofErr w:type="spellEnd"/>
      <w:r w:rsidRPr="00A57C3F">
        <w:rPr>
          <w:rFonts w:ascii="Calibri" w:hAnsi="Calibri" w:cs="Calibri"/>
        </w:rPr>
        <w:t xml:space="preserve"> Jeugd</w:t>
      </w:r>
      <w:r>
        <w:rPr>
          <w:rFonts w:ascii="Calibri" w:hAnsi="Calibri" w:cs="Calibri"/>
        </w:rPr>
        <w:t xml:space="preserve"> I</w:t>
      </w:r>
      <w:r w:rsidRPr="00A57C3F">
        <w:rPr>
          <w:rFonts w:ascii="Calibri" w:hAnsi="Calibri" w:cs="Calibri"/>
        </w:rPr>
        <w:t>mpresariaten) en hanteert bij haar contracten bepaling</w:t>
      </w:r>
      <w:r w:rsidR="001E482E">
        <w:rPr>
          <w:rFonts w:ascii="Calibri" w:hAnsi="Calibri" w:cs="Calibri"/>
        </w:rPr>
        <w:t>en</w:t>
      </w:r>
      <w:r w:rsidRPr="00A57C3F">
        <w:rPr>
          <w:rFonts w:ascii="Calibri" w:hAnsi="Calibri" w:cs="Calibri"/>
        </w:rPr>
        <w:t xml:space="preserve"> conform aan d</w:t>
      </w:r>
      <w:r>
        <w:rPr>
          <w:rFonts w:ascii="Calibri" w:hAnsi="Calibri" w:cs="Calibri"/>
        </w:rPr>
        <w:t xml:space="preserve">e algemene voorwaarden van VJI. </w:t>
      </w:r>
      <w:r w:rsidRPr="00A57C3F">
        <w:rPr>
          <w:rFonts w:ascii="Calibri" w:hAnsi="Calibri" w:cs="Calibri"/>
        </w:rPr>
        <w:t xml:space="preserve">Deze bepalingen worden bij ieder contract toegevoegd. </w:t>
      </w:r>
    </w:p>
    <w:p w:rsidR="00593A2B" w:rsidRPr="00A57C3F" w:rsidRDefault="00593A2B" w:rsidP="00593A2B">
      <w:pPr>
        <w:pStyle w:val="Normaal"/>
        <w:numPr>
          <w:ilvl w:val="0"/>
          <w:numId w:val="2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Technische eisen van een productie worden in het contract mee gestuurd en afnemer draagt zorg voor de benodigdheden. </w:t>
      </w:r>
    </w:p>
    <w:p w:rsidR="00593A2B" w:rsidRPr="00A57C3F" w:rsidRDefault="00593A2B" w:rsidP="00593A2B">
      <w:pPr>
        <w:pStyle w:val="Normaal"/>
        <w:numPr>
          <w:ilvl w:val="0"/>
          <w:numId w:val="2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Indien er sprake is van een overschrijding van meer dan 10% van het maximaal aantal bezoekers</w:t>
      </w:r>
      <w:r w:rsidR="001E482E">
        <w:rPr>
          <w:rFonts w:ascii="Calibri" w:hAnsi="Calibri" w:cs="Calibri"/>
        </w:rPr>
        <w:t xml:space="preserve"> b</w:t>
      </w:r>
      <w:r w:rsidRPr="00A57C3F">
        <w:rPr>
          <w:rFonts w:ascii="Calibri" w:hAnsi="Calibri" w:cs="Calibri"/>
        </w:rPr>
        <w:t xml:space="preserve">ehoudt </w:t>
      </w:r>
      <w:proofErr w:type="spellStart"/>
      <w:r w:rsidRPr="00A57C3F">
        <w:rPr>
          <w:rFonts w:ascii="Calibri" w:hAnsi="Calibri" w:cs="Calibri"/>
        </w:rPr>
        <w:t>Buro</w:t>
      </w:r>
      <w:proofErr w:type="spellEnd"/>
      <w:r w:rsidRPr="00A57C3F">
        <w:rPr>
          <w:rFonts w:ascii="Calibri" w:hAnsi="Calibri" w:cs="Calibri"/>
        </w:rPr>
        <w:t xml:space="preserve"> Bannink zich het recht om achteraf de uitkoopsom naar rato te verhogen. </w:t>
      </w:r>
    </w:p>
    <w:p w:rsidR="00593A2B" w:rsidRPr="00A57C3F" w:rsidRDefault="00593A2B" w:rsidP="00593A2B">
      <w:pPr>
        <w:pStyle w:val="Normaal"/>
        <w:numPr>
          <w:ilvl w:val="0"/>
          <w:numId w:val="2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Wij gaan ervanuit dat bij schoolvoorstellingen in het publiek voldoende leerkrachten/ ouders aanwezig zijn. De minimale verhouding is 1 leerkracht/ouder voor 30 leerlingen. De leerkrachten zijn verantwoordelijk voor </w:t>
      </w:r>
      <w:r>
        <w:rPr>
          <w:rFonts w:ascii="Calibri" w:hAnsi="Calibri" w:cs="Calibri"/>
        </w:rPr>
        <w:t xml:space="preserve">de </w:t>
      </w:r>
      <w:r w:rsidRPr="00A57C3F">
        <w:rPr>
          <w:rFonts w:ascii="Calibri" w:hAnsi="Calibri" w:cs="Calibri"/>
        </w:rPr>
        <w:t xml:space="preserve">rust tijdens de voorstellingen.  </w:t>
      </w: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</w:rPr>
      </w:pP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  <w:b/>
        </w:rPr>
      </w:pPr>
      <w:r w:rsidRPr="00A57C3F">
        <w:rPr>
          <w:rFonts w:ascii="Calibri" w:hAnsi="Calibri" w:cs="Calibri"/>
          <w:b/>
        </w:rPr>
        <w:t>Prijzen</w:t>
      </w:r>
      <w:r>
        <w:rPr>
          <w:rFonts w:ascii="Calibri" w:hAnsi="Calibri" w:cs="Calibri"/>
          <w:b/>
        </w:rPr>
        <w:t xml:space="preserve"> &amp; Kosten</w:t>
      </w:r>
    </w:p>
    <w:p w:rsidR="00593A2B" w:rsidRPr="00A57C3F" w:rsidRDefault="00593A2B" w:rsidP="00593A2B">
      <w:pPr>
        <w:pStyle w:val="Normaal"/>
        <w:numPr>
          <w:ilvl w:val="0"/>
          <w:numId w:val="1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Prijzen zijn afhankelijk van </w:t>
      </w:r>
      <w:r w:rsidR="001E482E">
        <w:rPr>
          <w:rFonts w:ascii="Calibri" w:hAnsi="Calibri" w:cs="Calibri"/>
        </w:rPr>
        <w:t xml:space="preserve">de </w:t>
      </w:r>
      <w:r w:rsidRPr="00A57C3F">
        <w:rPr>
          <w:rFonts w:ascii="Calibri" w:hAnsi="Calibri" w:cs="Calibri"/>
        </w:rPr>
        <w:t xml:space="preserve">speellocatie en </w:t>
      </w:r>
      <w:r w:rsidR="001E482E">
        <w:rPr>
          <w:rFonts w:ascii="Calibri" w:hAnsi="Calibri" w:cs="Calibri"/>
        </w:rPr>
        <w:t xml:space="preserve">het </w:t>
      </w:r>
      <w:r w:rsidRPr="00A57C3F">
        <w:rPr>
          <w:rFonts w:ascii="Calibri" w:hAnsi="Calibri" w:cs="Calibri"/>
        </w:rPr>
        <w:t xml:space="preserve">aantal voorstellingen. De prijs per voorstelling is terug te vinden bij de voorstelling op </w:t>
      </w:r>
      <w:hyperlink r:id="rId7" w:history="1">
        <w:r w:rsidRPr="00A57C3F">
          <w:rPr>
            <w:rStyle w:val="Hyperlink"/>
            <w:rFonts w:ascii="Calibri" w:hAnsi="Calibri" w:cs="Calibri"/>
          </w:rPr>
          <w:t>www.burobannink.nl</w:t>
        </w:r>
      </w:hyperlink>
      <w:r w:rsidRPr="00A57C3F">
        <w:rPr>
          <w:rFonts w:ascii="Calibri" w:hAnsi="Calibri" w:cs="Calibri"/>
        </w:rPr>
        <w:t xml:space="preserve">. </w:t>
      </w:r>
    </w:p>
    <w:p w:rsidR="00593A2B" w:rsidRDefault="00593A2B" w:rsidP="00593A2B">
      <w:pPr>
        <w:pStyle w:val="Normaal"/>
        <w:numPr>
          <w:ilvl w:val="0"/>
          <w:numId w:val="1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De prijzen zijn altijd </w:t>
      </w:r>
      <w:r w:rsidRPr="00A57C3F">
        <w:rPr>
          <w:rFonts w:ascii="Calibri" w:hAnsi="Calibri" w:cs="Calibri"/>
          <w:u w:val="single"/>
        </w:rPr>
        <w:t xml:space="preserve">exclusief </w:t>
      </w:r>
      <w:r w:rsidRPr="00A57C3F">
        <w:rPr>
          <w:rFonts w:ascii="Calibri" w:hAnsi="Calibri" w:cs="Calibri"/>
        </w:rPr>
        <w:t xml:space="preserve">reiskosten per kilometer en </w:t>
      </w:r>
      <w:r>
        <w:rPr>
          <w:rFonts w:ascii="Calibri" w:hAnsi="Calibri" w:cs="Calibri"/>
        </w:rPr>
        <w:t>9</w:t>
      </w:r>
      <w:r w:rsidRPr="00A57C3F">
        <w:rPr>
          <w:rFonts w:ascii="Calibri" w:hAnsi="Calibri" w:cs="Calibri"/>
        </w:rPr>
        <w:t>%</w:t>
      </w:r>
      <w:r w:rsidRPr="00A57C3F">
        <w:rPr>
          <w:rFonts w:ascii="Calibri" w:hAnsi="Calibri" w:cs="Calibri"/>
          <w:u w:val="single"/>
        </w:rPr>
        <w:t xml:space="preserve"> btw</w:t>
      </w:r>
      <w:r w:rsidRPr="00A57C3F">
        <w:rPr>
          <w:rFonts w:ascii="Calibri" w:hAnsi="Calibri" w:cs="Calibri"/>
        </w:rPr>
        <w:t xml:space="preserve"> over uitkoopsom en reiskosten.</w:t>
      </w:r>
    </w:p>
    <w:p w:rsidR="00593A2B" w:rsidRDefault="00593A2B" w:rsidP="00593A2B">
      <w:pPr>
        <w:pStyle w:val="Normaal"/>
        <w:numPr>
          <w:ilvl w:val="0"/>
          <w:numId w:val="1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Reiskosten worden berekend vanaf de vestigingsplaats van het gezelschap en betreffen minimaal 0,45 </w:t>
      </w:r>
      <w:proofErr w:type="spellStart"/>
      <w:r w:rsidRPr="00A57C3F">
        <w:rPr>
          <w:rFonts w:ascii="Calibri" w:hAnsi="Calibri" w:cs="Calibri"/>
        </w:rPr>
        <w:t>cpk</w:t>
      </w:r>
      <w:proofErr w:type="spellEnd"/>
      <w:r w:rsidRPr="00A57C3F">
        <w:rPr>
          <w:rFonts w:ascii="Calibri" w:hAnsi="Calibri" w:cs="Calibri"/>
        </w:rPr>
        <w:t xml:space="preserve">. Eventuele hotelovernachtingen zijn niet bij de prijs inbegrepen. </w:t>
      </w:r>
    </w:p>
    <w:p w:rsidR="00593A2B" w:rsidRDefault="00593A2B" w:rsidP="00593A2B">
      <w:pPr>
        <w:pStyle w:val="Normaal"/>
        <w:numPr>
          <w:ilvl w:val="0"/>
          <w:numId w:val="1"/>
        </w:numPr>
        <w:ind w:right="141"/>
        <w:rPr>
          <w:rFonts w:ascii="Calibri" w:hAnsi="Calibri" w:cs="Calibri"/>
        </w:rPr>
      </w:pPr>
      <w:r>
        <w:rPr>
          <w:rFonts w:ascii="Calibri" w:hAnsi="Calibri" w:cs="Calibri"/>
        </w:rPr>
        <w:t>Indien a</w:t>
      </w:r>
      <w:r w:rsidRPr="00593A2B">
        <w:rPr>
          <w:rFonts w:ascii="Calibri" w:hAnsi="Calibri" w:cs="Calibri"/>
        </w:rPr>
        <w:t>uteursrechten</w:t>
      </w:r>
      <w:r>
        <w:rPr>
          <w:rFonts w:ascii="Calibri" w:hAnsi="Calibri" w:cs="Calibri"/>
        </w:rPr>
        <w:t xml:space="preserve"> en/of BUMA STEMRA van toepassing</w:t>
      </w:r>
      <w:r w:rsidRPr="00593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zijn worden deze als percentage van de</w:t>
      </w:r>
      <w:r w:rsidRPr="00593A2B">
        <w:rPr>
          <w:rFonts w:ascii="Calibri" w:hAnsi="Calibri" w:cs="Calibri"/>
        </w:rPr>
        <w:t xml:space="preserve"> uitkoopsom gerekend</w:t>
      </w:r>
      <w:r>
        <w:rPr>
          <w:rFonts w:ascii="Calibri" w:hAnsi="Calibri" w:cs="Calibri"/>
        </w:rPr>
        <w:t xml:space="preserve">, dit wordt in het contract vermeld. </w:t>
      </w:r>
    </w:p>
    <w:p w:rsidR="00593A2B" w:rsidRPr="00A57C3F" w:rsidRDefault="00593A2B" w:rsidP="00593A2B">
      <w:pPr>
        <w:pStyle w:val="Normaal"/>
        <w:numPr>
          <w:ilvl w:val="0"/>
          <w:numId w:val="1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Tussentijdse prijswijzigingen zijn voorbehouden</w:t>
      </w:r>
      <w:r>
        <w:rPr>
          <w:rFonts w:ascii="Calibri" w:hAnsi="Calibri" w:cs="Calibri"/>
        </w:rPr>
        <w:t xml:space="preserve"> er kunnen geen rechten verleend worden aan prijslijst en website. </w:t>
      </w: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</w:rPr>
      </w:pP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  <w:b/>
        </w:rPr>
      </w:pPr>
      <w:r w:rsidRPr="00A57C3F">
        <w:rPr>
          <w:rFonts w:ascii="Calibri" w:hAnsi="Calibri" w:cs="Calibri"/>
          <w:b/>
        </w:rPr>
        <w:t>Opties en contracten</w:t>
      </w:r>
    </w:p>
    <w:p w:rsidR="00593A2B" w:rsidRPr="00A57C3F" w:rsidRDefault="00593A2B" w:rsidP="00593A2B">
      <w:pPr>
        <w:pStyle w:val="Normaal"/>
        <w:numPr>
          <w:ilvl w:val="0"/>
          <w:numId w:val="3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Opties kunnen tot maximaal 60 dagen voorafgaand aan de (eerste) speeldatum worden aangehouden.</w:t>
      </w:r>
    </w:p>
    <w:p w:rsidR="00593A2B" w:rsidRPr="00A57C3F" w:rsidRDefault="00593A2B" w:rsidP="00593A2B">
      <w:pPr>
        <w:pStyle w:val="Normaal"/>
        <w:numPr>
          <w:ilvl w:val="0"/>
          <w:numId w:val="3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Zonder tegenbericht van de afnemer worden opties </w:t>
      </w:r>
      <w:r>
        <w:rPr>
          <w:rFonts w:ascii="Calibri" w:hAnsi="Calibri" w:cs="Calibri"/>
        </w:rPr>
        <w:t>60 dagen voorafgaand aan de speeldatum</w:t>
      </w:r>
      <w:r w:rsidRPr="00A57C3F">
        <w:rPr>
          <w:rFonts w:ascii="Calibri" w:hAnsi="Calibri" w:cs="Calibri"/>
        </w:rPr>
        <w:t xml:space="preserve"> automatisch in contracten omgezet.</w:t>
      </w:r>
    </w:p>
    <w:p w:rsidR="00593A2B" w:rsidRPr="00A57C3F" w:rsidRDefault="00593A2B" w:rsidP="00593A2B">
      <w:pPr>
        <w:pStyle w:val="Normaal"/>
        <w:numPr>
          <w:ilvl w:val="0"/>
          <w:numId w:val="3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Afspraken die afwijken van de standaard, worden in het contract vermeld.</w:t>
      </w:r>
    </w:p>
    <w:p w:rsidR="00593A2B" w:rsidRPr="00A57C3F" w:rsidRDefault="00593A2B" w:rsidP="00593A2B">
      <w:pPr>
        <w:pStyle w:val="Normaal"/>
        <w:numPr>
          <w:ilvl w:val="0"/>
          <w:numId w:val="3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 xml:space="preserve">In het contract staan prijsafspraken, data, contactpersonen en aanvullende informatie vermeld. </w:t>
      </w: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</w:rPr>
      </w:pPr>
    </w:p>
    <w:p w:rsidR="00593A2B" w:rsidRPr="00A57C3F" w:rsidRDefault="00593A2B" w:rsidP="00593A2B">
      <w:pPr>
        <w:pStyle w:val="Normaal"/>
        <w:ind w:right="141"/>
        <w:rPr>
          <w:rFonts w:ascii="Calibri" w:hAnsi="Calibri" w:cs="Calibri"/>
          <w:b/>
        </w:rPr>
      </w:pPr>
      <w:r w:rsidRPr="00A57C3F">
        <w:rPr>
          <w:rFonts w:ascii="Calibri" w:hAnsi="Calibri" w:cs="Calibri"/>
          <w:b/>
        </w:rPr>
        <w:t>Les- en publiciteitsmateriaal</w:t>
      </w:r>
    </w:p>
    <w:p w:rsidR="00593A2B" w:rsidRPr="001E482E" w:rsidRDefault="00593A2B" w:rsidP="00593A2B">
      <w:pPr>
        <w:pStyle w:val="Normaal"/>
        <w:numPr>
          <w:ilvl w:val="0"/>
          <w:numId w:val="4"/>
        </w:numPr>
        <w:ind w:right="141"/>
        <w:rPr>
          <w:rFonts w:ascii="Calibri" w:hAnsi="Calibri" w:cs="Calibri"/>
        </w:rPr>
      </w:pPr>
      <w:r w:rsidRPr="001E482E">
        <w:rPr>
          <w:rFonts w:ascii="Calibri" w:hAnsi="Calibri" w:cs="Calibri"/>
        </w:rPr>
        <w:t>Een pr-pakket</w:t>
      </w:r>
      <w:r w:rsidR="001E482E" w:rsidRPr="001E482E">
        <w:rPr>
          <w:rFonts w:ascii="Calibri" w:hAnsi="Calibri" w:cs="Calibri"/>
        </w:rPr>
        <w:t>,</w:t>
      </w:r>
      <w:r w:rsidRPr="001E482E">
        <w:rPr>
          <w:rFonts w:ascii="Calibri" w:hAnsi="Calibri" w:cs="Calibri"/>
        </w:rPr>
        <w:t xml:space="preserve"> bestaande uit 10 affiches (A2) &amp; 200 flyers</w:t>
      </w:r>
      <w:r w:rsidR="001E482E" w:rsidRPr="001E482E">
        <w:rPr>
          <w:rFonts w:ascii="Calibri" w:hAnsi="Calibri" w:cs="Calibri"/>
        </w:rPr>
        <w:t>,</w:t>
      </w:r>
      <w:r w:rsidRPr="001E482E">
        <w:rPr>
          <w:rFonts w:ascii="Calibri" w:hAnsi="Calibri" w:cs="Calibri"/>
        </w:rPr>
        <w:t xml:space="preserve"> kan bij Buro Bannink worden aangevraagd</w:t>
      </w:r>
      <w:r w:rsidR="001E482E" w:rsidRPr="001E482E">
        <w:rPr>
          <w:rFonts w:ascii="Calibri" w:hAnsi="Calibri" w:cs="Calibri"/>
        </w:rPr>
        <w:t xml:space="preserve">. </w:t>
      </w:r>
      <w:r w:rsidR="001E482E" w:rsidRPr="001E482E">
        <w:rPr>
          <w:rFonts w:ascii="Calibri" w:hAnsi="Calibri" w:cs="Calibri"/>
        </w:rPr>
        <w:t xml:space="preserve">Dit kan via </w:t>
      </w:r>
      <w:hyperlink r:id="rId8" w:history="1">
        <w:r w:rsidR="001E482E" w:rsidRPr="001E482E">
          <w:rPr>
            <w:rStyle w:val="Hyperlink"/>
            <w:rFonts w:ascii="Calibri" w:hAnsi="Calibri" w:cs="Calibri"/>
          </w:rPr>
          <w:t>info@burobannink.nl</w:t>
        </w:r>
      </w:hyperlink>
      <w:r w:rsidR="001E482E">
        <w:rPr>
          <w:rStyle w:val="Hyperlink"/>
          <w:rFonts w:ascii="Calibri" w:hAnsi="Calibri" w:cs="Calibri"/>
        </w:rPr>
        <w:t xml:space="preserve">. </w:t>
      </w:r>
      <w:r w:rsidR="001E482E" w:rsidRPr="001E482E">
        <w:rPr>
          <w:rStyle w:val="Hyperlink"/>
          <w:rFonts w:ascii="Calibri" w:hAnsi="Calibri" w:cs="Calibri"/>
          <w:color w:val="000000" w:themeColor="text1"/>
          <w:u w:val="none"/>
        </w:rPr>
        <w:t>E</w:t>
      </w:r>
      <w:r w:rsidRPr="001E482E">
        <w:rPr>
          <w:rFonts w:ascii="Calibri" w:hAnsi="Calibri" w:cs="Calibri"/>
          <w:color w:val="000000" w:themeColor="text1"/>
        </w:rPr>
        <w:t xml:space="preserve">r </w:t>
      </w:r>
      <w:r w:rsidRPr="001E482E">
        <w:rPr>
          <w:rFonts w:ascii="Calibri" w:hAnsi="Calibri" w:cs="Calibri"/>
        </w:rPr>
        <w:t>wordt €1</w:t>
      </w:r>
      <w:r w:rsidR="001E482E" w:rsidRPr="001E482E">
        <w:rPr>
          <w:rFonts w:ascii="Calibri" w:hAnsi="Calibri" w:cs="Calibri"/>
        </w:rPr>
        <w:t>5</w:t>
      </w:r>
      <w:r w:rsidRPr="001E482E">
        <w:rPr>
          <w:rFonts w:ascii="Calibri" w:hAnsi="Calibri" w:cs="Calibri"/>
        </w:rPr>
        <w:t xml:space="preserve"> kosten in rekening gebracht voor drukwerk en verzenden. Persfoto’s, digitale lesbrieven, persmateriaal zijn te downloaden op </w:t>
      </w:r>
      <w:hyperlink r:id="rId9" w:history="1">
        <w:r w:rsidRPr="001E482E">
          <w:rPr>
            <w:rStyle w:val="Hyperlink"/>
            <w:rFonts w:ascii="Calibri" w:hAnsi="Calibri" w:cs="Calibri"/>
          </w:rPr>
          <w:t>www.burobannink.nl/downloads</w:t>
        </w:r>
      </w:hyperlink>
      <w:r w:rsidRPr="001E482E">
        <w:rPr>
          <w:rFonts w:ascii="Calibri" w:hAnsi="Calibri" w:cs="Calibri"/>
        </w:rPr>
        <w:t xml:space="preserve">  </w:t>
      </w:r>
    </w:p>
    <w:p w:rsidR="00593A2B" w:rsidRPr="00A57C3F" w:rsidRDefault="00593A2B" w:rsidP="00593A2B">
      <w:pPr>
        <w:pStyle w:val="Normaal"/>
        <w:numPr>
          <w:ilvl w:val="0"/>
          <w:numId w:val="4"/>
        </w:numPr>
        <w:ind w:right="141"/>
        <w:rPr>
          <w:rFonts w:ascii="Calibri" w:hAnsi="Calibri" w:cs="Calibri"/>
        </w:rPr>
      </w:pPr>
      <w:r w:rsidRPr="00A57C3F">
        <w:rPr>
          <w:rFonts w:ascii="Calibri" w:hAnsi="Calibri" w:cs="Calibri"/>
        </w:rPr>
        <w:t>Scholen dienen bij het bezoek van de voorstelling het bijbehorende lesmateriaal te hebben bekeken en dien</w:t>
      </w:r>
      <w:r>
        <w:rPr>
          <w:rFonts w:ascii="Calibri" w:hAnsi="Calibri" w:cs="Calibri"/>
        </w:rPr>
        <w:t>en</w:t>
      </w:r>
      <w:r w:rsidRPr="00A57C3F">
        <w:rPr>
          <w:rFonts w:ascii="Calibri" w:hAnsi="Calibri" w:cs="Calibri"/>
        </w:rPr>
        <w:t xml:space="preserve"> voorbereid te zijn op </w:t>
      </w:r>
      <w:r w:rsidR="001E482E">
        <w:rPr>
          <w:rFonts w:ascii="Calibri" w:hAnsi="Calibri" w:cs="Calibri"/>
        </w:rPr>
        <w:t>het</w:t>
      </w:r>
      <w:r w:rsidRPr="00A57C3F">
        <w:rPr>
          <w:rFonts w:ascii="Calibri" w:hAnsi="Calibri" w:cs="Calibri"/>
        </w:rPr>
        <w:t xml:space="preserve"> theaterbezoek. </w:t>
      </w:r>
    </w:p>
    <w:p w:rsidR="00D3111F" w:rsidRPr="00593A2B" w:rsidRDefault="00DF672B" w:rsidP="00593A2B">
      <w:pPr>
        <w:spacing w:line="240" w:lineRule="auto"/>
        <w:rPr>
          <w:rFonts w:asciiTheme="majorHAnsi" w:eastAsiaTheme="majorEastAsia" w:hAnsiTheme="majorHAnsi" w:cstheme="majorBidi"/>
          <w:b/>
          <w:color w:val="63D9D9"/>
        </w:rPr>
      </w:pPr>
      <w:bookmarkStart w:id="0" w:name="_GoBack"/>
      <w:bookmarkEnd w:id="0"/>
    </w:p>
    <w:sectPr w:rsidR="00D3111F" w:rsidRPr="00593A2B" w:rsidSect="002B20AB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2B" w:rsidRDefault="00DF672B" w:rsidP="00F32FA8">
      <w:pPr>
        <w:spacing w:line="240" w:lineRule="auto"/>
      </w:pPr>
      <w:r>
        <w:separator/>
      </w:r>
    </w:p>
  </w:endnote>
  <w:endnote w:type="continuationSeparator" w:id="0">
    <w:p w:rsidR="00DF672B" w:rsidRDefault="00DF672B" w:rsidP="00F32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2B" w:rsidRDefault="00DF672B" w:rsidP="00F32FA8">
      <w:pPr>
        <w:spacing w:line="240" w:lineRule="auto"/>
      </w:pPr>
      <w:r>
        <w:separator/>
      </w:r>
    </w:p>
  </w:footnote>
  <w:footnote w:type="continuationSeparator" w:id="0">
    <w:p w:rsidR="00DF672B" w:rsidRDefault="00DF672B" w:rsidP="00F32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A8" w:rsidRDefault="002B20AB" w:rsidP="002B20AB">
    <w:pPr>
      <w:pStyle w:val="Koptekst"/>
      <w:tabs>
        <w:tab w:val="clear" w:pos="4536"/>
        <w:tab w:val="clear" w:pos="9072"/>
        <w:tab w:val="center" w:pos="4533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-899686</wp:posOffset>
          </wp:positionH>
          <wp:positionV relativeFrom="paragraph">
            <wp:posOffset>-449580</wp:posOffset>
          </wp:positionV>
          <wp:extent cx="7530850" cy="1065749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850" cy="1065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A8">
      <w:rPr>
        <w:noProof/>
      </w:rPr>
      <w:softHyphen/>
    </w:r>
    <w:r w:rsidR="00F32FA8">
      <w:rPr>
        <w:noProof/>
      </w:rPr>
      <w:softHyphen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AB" w:rsidRDefault="002B20A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2F64A" wp14:editId="282F45E2">
          <wp:simplePos x="0" y="0"/>
          <wp:positionH relativeFrom="column">
            <wp:posOffset>-884226</wp:posOffset>
          </wp:positionH>
          <wp:positionV relativeFrom="paragraph">
            <wp:posOffset>-480060</wp:posOffset>
          </wp:positionV>
          <wp:extent cx="7520151" cy="10704195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1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4AB"/>
    <w:multiLevelType w:val="hybridMultilevel"/>
    <w:tmpl w:val="4516B5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FB7"/>
    <w:multiLevelType w:val="hybridMultilevel"/>
    <w:tmpl w:val="974C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662"/>
    <w:multiLevelType w:val="hybridMultilevel"/>
    <w:tmpl w:val="9364C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71E5"/>
    <w:multiLevelType w:val="hybridMultilevel"/>
    <w:tmpl w:val="73528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2B"/>
    <w:rsid w:val="00084D9A"/>
    <w:rsid w:val="001E482E"/>
    <w:rsid w:val="00225871"/>
    <w:rsid w:val="002B20AB"/>
    <w:rsid w:val="00517254"/>
    <w:rsid w:val="00593A2B"/>
    <w:rsid w:val="0067083A"/>
    <w:rsid w:val="00DD022C"/>
    <w:rsid w:val="00DD076E"/>
    <w:rsid w:val="00DF331B"/>
    <w:rsid w:val="00DF672B"/>
    <w:rsid w:val="00E029F5"/>
    <w:rsid w:val="00E1685B"/>
    <w:rsid w:val="00F2768A"/>
    <w:rsid w:val="00F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4362F"/>
  <w14:defaultImageDpi w14:val="32767"/>
  <w15:chartTrackingRefBased/>
  <w15:docId w15:val="{2BAD9E3D-F637-AF44-9FB0-AD66F6B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32FA8"/>
    <w:pPr>
      <w:spacing w:line="36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32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3D9D9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2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63D9D9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32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63D9D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7254"/>
    <w:pPr>
      <w:pBdr>
        <w:top w:val="single" w:sz="4" w:space="5" w:color="00B050"/>
        <w:left w:val="single" w:sz="4" w:space="4" w:color="00B050"/>
        <w:bottom w:val="single" w:sz="4" w:space="5" w:color="00B050"/>
        <w:right w:val="single" w:sz="4" w:space="4" w:color="00B050"/>
      </w:pBdr>
      <w:ind w:left="113" w:right="113"/>
      <w:jc w:val="center"/>
    </w:pPr>
    <w:rPr>
      <w:rFonts w:ascii="Calibri" w:hAnsi="Calibri" w:cs="Arial Unicode MS"/>
      <w:i/>
      <w:iCs/>
      <w:color w:val="92D050"/>
      <w:sz w:val="16"/>
      <w:u w:color="0000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7254"/>
    <w:rPr>
      <w:rFonts w:ascii="Calibri" w:hAnsi="Calibri" w:cs="Arial Unicode MS"/>
      <w:i/>
      <w:iCs/>
      <w:color w:val="92D050"/>
      <w:sz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F32F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2FA8"/>
  </w:style>
  <w:style w:type="paragraph" w:styleId="Voettekst">
    <w:name w:val="footer"/>
    <w:basedOn w:val="Standaard"/>
    <w:link w:val="VoettekstChar"/>
    <w:uiPriority w:val="99"/>
    <w:unhideWhenUsed/>
    <w:rsid w:val="00F32F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2FA8"/>
  </w:style>
  <w:style w:type="character" w:customStyle="1" w:styleId="Kop1Char">
    <w:name w:val="Kop 1 Char"/>
    <w:basedOn w:val="Standaardalinea-lettertype"/>
    <w:link w:val="Kop1"/>
    <w:uiPriority w:val="9"/>
    <w:rsid w:val="00F32FA8"/>
    <w:rPr>
      <w:rFonts w:asciiTheme="majorHAnsi" w:eastAsiaTheme="majorEastAsia" w:hAnsiTheme="majorHAnsi" w:cstheme="majorBidi"/>
      <w:b/>
      <w:color w:val="63D9D9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32FA8"/>
    <w:rPr>
      <w:rFonts w:asciiTheme="majorHAnsi" w:eastAsiaTheme="majorEastAsia" w:hAnsiTheme="majorHAnsi" w:cstheme="majorBidi"/>
      <w:b/>
      <w:color w:val="63D9D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32FA8"/>
    <w:rPr>
      <w:rFonts w:asciiTheme="majorHAnsi" w:eastAsiaTheme="majorEastAsia" w:hAnsiTheme="majorHAnsi" w:cstheme="majorBidi"/>
      <w:b/>
      <w:color w:val="63D9D9"/>
      <w:sz w:val="20"/>
    </w:rPr>
  </w:style>
  <w:style w:type="paragraph" w:customStyle="1" w:styleId="Normaal">
    <w:name w:val="Normaal"/>
    <w:qFormat/>
    <w:rsid w:val="00593A2B"/>
    <w:rPr>
      <w:rFonts w:ascii="Arial" w:eastAsia="Times New Roman" w:hAnsi="Arial" w:cs="Times New Roman"/>
      <w:sz w:val="20"/>
      <w:szCs w:val="20"/>
      <w:lang w:eastAsia="nl-NL"/>
    </w:rPr>
  </w:style>
  <w:style w:type="paragraph" w:styleId="Titel">
    <w:name w:val="Title"/>
    <w:basedOn w:val="Normaal"/>
    <w:link w:val="TitelChar"/>
    <w:qFormat/>
    <w:rsid w:val="00593A2B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itelChar">
    <w:name w:val="Titel Char"/>
    <w:basedOn w:val="Standaardalinea-lettertype"/>
    <w:link w:val="Titel"/>
    <w:rsid w:val="00593A2B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593A2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22587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8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82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48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8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48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8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8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obannink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obannin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robannink.nl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bannink%201/Library/Group%20Containers/UBF8T346G9.Office/User%20Content.localized/Templates.localized/briefpapier%20Fam%20Meer%20P%20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Fam Meer P .dotx</Template>
  <TotalTime>4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Bannink</dc:creator>
  <cp:keywords/>
  <dc:description/>
  <cp:lastModifiedBy>Marloes Damen</cp:lastModifiedBy>
  <cp:revision>2</cp:revision>
  <dcterms:created xsi:type="dcterms:W3CDTF">2020-04-16T09:16:00Z</dcterms:created>
  <dcterms:modified xsi:type="dcterms:W3CDTF">2020-04-16T09:16:00Z</dcterms:modified>
</cp:coreProperties>
</file>